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307E" w14:textId="4F1A2541" w:rsidR="000F3E33" w:rsidRPr="007229F4" w:rsidRDefault="000F3E33" w:rsidP="00ED78A3">
      <w:pPr>
        <w:jc w:val="center"/>
        <w:rPr>
          <w:rFonts w:ascii="Montserrat" w:hAnsi="Montserrat"/>
          <w:b/>
          <w:bCs/>
          <w:sz w:val="20"/>
          <w:szCs w:val="20"/>
        </w:rPr>
      </w:pPr>
      <w:r w:rsidRPr="007229F4">
        <w:rPr>
          <w:rFonts w:ascii="Montserrat" w:hAnsi="Montserrat"/>
          <w:b/>
          <w:bCs/>
          <w:sz w:val="20"/>
          <w:szCs w:val="20"/>
        </w:rPr>
        <w:t xml:space="preserve">ATENTA NOTA CONCURSO MERCANTIL </w:t>
      </w:r>
    </w:p>
    <w:p w14:paraId="2495622A" w14:textId="0E1E9036" w:rsidR="000F3E33" w:rsidRPr="007229F4" w:rsidRDefault="000F3E33" w:rsidP="00ED78A3">
      <w:pPr>
        <w:jc w:val="center"/>
        <w:rPr>
          <w:rFonts w:ascii="Montserrat" w:hAnsi="Montserrat"/>
          <w:b/>
          <w:bCs/>
          <w:sz w:val="20"/>
          <w:szCs w:val="20"/>
        </w:rPr>
      </w:pPr>
      <w:r w:rsidRPr="007229F4">
        <w:rPr>
          <w:rFonts w:ascii="Montserrat" w:hAnsi="Montserrat"/>
          <w:b/>
          <w:bCs/>
          <w:sz w:val="20"/>
          <w:szCs w:val="20"/>
        </w:rPr>
        <w:t>FICREA, S.A. DE C.V., SOCIEDAD FINANCIERA POPULAR.</w:t>
      </w:r>
    </w:p>
    <w:p w14:paraId="4A3F2C64" w14:textId="77777777" w:rsidR="000F3E33" w:rsidRPr="007229F4" w:rsidRDefault="000F3E33" w:rsidP="00ED78A3">
      <w:pPr>
        <w:jc w:val="both"/>
        <w:rPr>
          <w:rFonts w:ascii="Montserrat" w:hAnsi="Montserrat"/>
          <w:sz w:val="20"/>
          <w:szCs w:val="20"/>
        </w:rPr>
      </w:pPr>
    </w:p>
    <w:p w14:paraId="11E3B2BD" w14:textId="50899C54" w:rsidR="000F3E33" w:rsidRPr="007229F4" w:rsidRDefault="000F3E33" w:rsidP="00ED78A3">
      <w:pPr>
        <w:jc w:val="both"/>
        <w:rPr>
          <w:rFonts w:ascii="Montserrat" w:hAnsi="Montserrat"/>
          <w:b/>
          <w:bCs/>
          <w:sz w:val="20"/>
          <w:szCs w:val="20"/>
        </w:rPr>
      </w:pPr>
      <w:r w:rsidRPr="007229F4">
        <w:rPr>
          <w:rFonts w:ascii="Montserrat" w:hAnsi="Montserrat"/>
          <w:b/>
          <w:bCs/>
          <w:sz w:val="20"/>
          <w:szCs w:val="20"/>
        </w:rPr>
        <w:t>Actuaciones relevantes del mes de marzo de 2019.</w:t>
      </w:r>
    </w:p>
    <w:p w14:paraId="5F7CE414" w14:textId="7C5BECD7" w:rsidR="000F3E33" w:rsidRPr="007229F4" w:rsidRDefault="000F3E33" w:rsidP="00ED78A3">
      <w:pPr>
        <w:jc w:val="both"/>
        <w:rPr>
          <w:rFonts w:ascii="Montserrat" w:hAnsi="Montserrat"/>
          <w:sz w:val="20"/>
          <w:szCs w:val="20"/>
        </w:rPr>
      </w:pPr>
    </w:p>
    <w:p w14:paraId="26E32060" w14:textId="77777777" w:rsidR="007D32A5" w:rsidRPr="007229F4" w:rsidRDefault="000F3E33" w:rsidP="00ED78A3">
      <w:pPr>
        <w:pStyle w:val="Prrafodelista"/>
        <w:numPr>
          <w:ilvl w:val="0"/>
          <w:numId w:val="8"/>
        </w:numPr>
        <w:jc w:val="both"/>
        <w:rPr>
          <w:rFonts w:ascii="Montserrat" w:hAnsi="Montserrat" w:cs="Arial"/>
          <w:sz w:val="20"/>
          <w:szCs w:val="20"/>
        </w:rPr>
      </w:pPr>
      <w:r w:rsidRPr="007229F4">
        <w:rPr>
          <w:rFonts w:ascii="Montserrat" w:hAnsi="Montserrat" w:cs="Arial"/>
          <w:b/>
          <w:sz w:val="20"/>
          <w:szCs w:val="20"/>
        </w:rPr>
        <w:t xml:space="preserve">Recuperación </w:t>
      </w:r>
      <w:r w:rsidR="0032636C" w:rsidRPr="007229F4">
        <w:rPr>
          <w:rFonts w:ascii="Montserrat" w:hAnsi="Montserrat" w:cs="Arial"/>
          <w:b/>
          <w:sz w:val="20"/>
          <w:szCs w:val="20"/>
        </w:rPr>
        <w:t xml:space="preserve">de </w:t>
      </w:r>
      <w:r w:rsidRPr="007229F4">
        <w:rPr>
          <w:rFonts w:ascii="Montserrat" w:hAnsi="Montserrat" w:cs="Arial"/>
          <w:b/>
          <w:sz w:val="20"/>
          <w:szCs w:val="20"/>
        </w:rPr>
        <w:t>bienes inmuebles de la fallida</w:t>
      </w:r>
      <w:r w:rsidR="00E70317" w:rsidRPr="007229F4">
        <w:rPr>
          <w:rFonts w:ascii="Montserrat" w:hAnsi="Montserrat" w:cs="Arial"/>
          <w:b/>
          <w:sz w:val="20"/>
          <w:szCs w:val="20"/>
        </w:rPr>
        <w:t xml:space="preserve"> en el Estado de Guerrero</w:t>
      </w:r>
      <w:r w:rsidRPr="007229F4">
        <w:rPr>
          <w:rFonts w:ascii="Montserrat" w:hAnsi="Montserrat" w:cs="Arial"/>
          <w:b/>
          <w:sz w:val="20"/>
          <w:szCs w:val="20"/>
        </w:rPr>
        <w:t>.</w:t>
      </w:r>
      <w:r w:rsidRPr="007229F4">
        <w:rPr>
          <w:rFonts w:ascii="Montserrat" w:hAnsi="Montserrat" w:cs="Arial"/>
          <w:sz w:val="20"/>
          <w:szCs w:val="20"/>
        </w:rPr>
        <w:t xml:space="preserve"> Juez Distrito en el Estado de Guerrero, devolvió al Juez concursal el Exhorto debidamente diligenciado, con relación a la toma de posesión de dos bien inmuebles propiedad de </w:t>
      </w:r>
      <w:r w:rsidR="0076543F" w:rsidRPr="007229F4">
        <w:rPr>
          <w:rFonts w:ascii="Montserrat" w:hAnsi="Montserrat" w:cs="Arial"/>
          <w:sz w:val="20"/>
          <w:szCs w:val="20"/>
        </w:rPr>
        <w:t>FICREA</w:t>
      </w:r>
      <w:r w:rsidRPr="007229F4">
        <w:rPr>
          <w:rFonts w:ascii="Montserrat" w:hAnsi="Montserrat" w:cs="Arial"/>
          <w:sz w:val="20"/>
          <w:szCs w:val="20"/>
        </w:rPr>
        <w:t xml:space="preserve"> ubicados en la </w:t>
      </w:r>
      <w:r w:rsidR="00345DF1" w:rsidRPr="007229F4">
        <w:rPr>
          <w:rFonts w:ascii="Montserrat" w:hAnsi="Montserrat" w:cs="Arial"/>
          <w:sz w:val="20"/>
          <w:szCs w:val="20"/>
        </w:rPr>
        <w:t>C</w:t>
      </w:r>
      <w:r w:rsidRPr="007229F4">
        <w:rPr>
          <w:rFonts w:ascii="Montserrat" w:hAnsi="Montserrat" w:cs="Arial"/>
          <w:sz w:val="20"/>
          <w:szCs w:val="20"/>
        </w:rPr>
        <w:t>iudad de Acapulco, los cuales quedaron en posesión del Síndico.</w:t>
      </w:r>
    </w:p>
    <w:p w14:paraId="2A0EC96F" w14:textId="16ED40FE" w:rsidR="00345DF1" w:rsidRPr="007229F4" w:rsidRDefault="000F3E33" w:rsidP="00ED78A3">
      <w:pPr>
        <w:pStyle w:val="Prrafodelista"/>
        <w:ind w:left="720"/>
        <w:jc w:val="both"/>
        <w:rPr>
          <w:rFonts w:ascii="Montserrat" w:hAnsi="Montserrat" w:cs="Arial"/>
          <w:sz w:val="20"/>
          <w:szCs w:val="20"/>
        </w:rPr>
      </w:pPr>
      <w:r w:rsidRPr="007229F4">
        <w:rPr>
          <w:rFonts w:ascii="Montserrat" w:hAnsi="Montserrat" w:cs="Arial"/>
          <w:sz w:val="20"/>
          <w:szCs w:val="20"/>
        </w:rPr>
        <w:t xml:space="preserve">   </w:t>
      </w:r>
    </w:p>
    <w:p w14:paraId="5C4662AB" w14:textId="31D99DED" w:rsidR="00345DF1" w:rsidRPr="007229F4" w:rsidRDefault="00345DF1" w:rsidP="00ED78A3">
      <w:pPr>
        <w:pStyle w:val="Prrafodelista"/>
        <w:numPr>
          <w:ilvl w:val="0"/>
          <w:numId w:val="8"/>
        </w:numPr>
        <w:jc w:val="both"/>
        <w:rPr>
          <w:rFonts w:ascii="Montserrat" w:hAnsi="Montserrat" w:cs="Arial"/>
          <w:sz w:val="20"/>
          <w:szCs w:val="20"/>
        </w:rPr>
      </w:pPr>
      <w:r w:rsidRPr="007229F4">
        <w:rPr>
          <w:rFonts w:ascii="Montserrat" w:hAnsi="Montserrat" w:cs="Arial"/>
          <w:b/>
          <w:sz w:val="20"/>
          <w:szCs w:val="20"/>
        </w:rPr>
        <w:t xml:space="preserve">Información de Registros Públicos de la Propiedad de la República Mexicana. </w:t>
      </w:r>
      <w:r w:rsidRPr="007229F4">
        <w:rPr>
          <w:rFonts w:ascii="Montserrat" w:hAnsi="Montserrat" w:cs="Arial"/>
          <w:sz w:val="20"/>
          <w:szCs w:val="20"/>
        </w:rPr>
        <w:t xml:space="preserve">Con relación a la solicitud del Síndico de girar oficios a los Titulares de todos los Registros Públicos de la Propiedad la República Mexicana, a efecto de que éstos informen sobre la existencia de bienes inmuebles registrados a nombre del principal socio de la fallida, se recibieron oficios de los Registros Públicos de Coahuila, Sinaloa, Hidalgo, Michoacán y Campeche informando que no se encontraron registros a nombre del principal socio. </w:t>
      </w:r>
    </w:p>
    <w:p w14:paraId="112940DC" w14:textId="77777777" w:rsidR="007D32A5" w:rsidRPr="007229F4" w:rsidRDefault="007D32A5" w:rsidP="00ED78A3">
      <w:pPr>
        <w:pStyle w:val="Prrafodelista"/>
        <w:ind w:left="720"/>
        <w:jc w:val="both"/>
        <w:rPr>
          <w:rFonts w:ascii="Montserrat" w:hAnsi="Montserrat" w:cs="Arial"/>
          <w:sz w:val="20"/>
          <w:szCs w:val="20"/>
        </w:rPr>
      </w:pPr>
    </w:p>
    <w:p w14:paraId="04756073" w14:textId="725DBD04" w:rsidR="000F3E33" w:rsidRPr="007229F4" w:rsidRDefault="000F3E33" w:rsidP="00ED78A3">
      <w:pPr>
        <w:pStyle w:val="Prrafodelista"/>
        <w:numPr>
          <w:ilvl w:val="0"/>
          <w:numId w:val="8"/>
        </w:numPr>
        <w:jc w:val="both"/>
        <w:rPr>
          <w:rFonts w:ascii="Montserrat" w:hAnsi="Montserrat" w:cs="Arial"/>
          <w:sz w:val="20"/>
          <w:szCs w:val="20"/>
        </w:rPr>
      </w:pPr>
      <w:r w:rsidRPr="007229F4">
        <w:rPr>
          <w:rFonts w:ascii="Montserrat" w:hAnsi="Montserrat" w:cs="Arial"/>
          <w:b/>
          <w:sz w:val="20"/>
          <w:szCs w:val="20"/>
        </w:rPr>
        <w:t xml:space="preserve">Honorarios </w:t>
      </w:r>
      <w:r w:rsidR="00345DF1" w:rsidRPr="007229F4">
        <w:rPr>
          <w:rFonts w:ascii="Montserrat" w:hAnsi="Montserrat" w:cs="Arial"/>
          <w:b/>
          <w:sz w:val="20"/>
          <w:szCs w:val="20"/>
        </w:rPr>
        <w:t>del Síndico</w:t>
      </w:r>
      <w:r w:rsidRPr="007229F4">
        <w:rPr>
          <w:rFonts w:ascii="Montserrat" w:hAnsi="Montserrat" w:cs="Arial"/>
          <w:b/>
          <w:sz w:val="20"/>
          <w:szCs w:val="20"/>
        </w:rPr>
        <w:t xml:space="preserve">. </w:t>
      </w:r>
      <w:r w:rsidRPr="007229F4">
        <w:rPr>
          <w:rFonts w:ascii="Montserrat" w:hAnsi="Montserrat" w:cs="Arial"/>
          <w:sz w:val="20"/>
          <w:szCs w:val="20"/>
        </w:rPr>
        <w:t>El Síndico solicitó autorización al Juez Concursal para el pago de honorarios, cuyo monto asciende a 259,806.18 UDIS más I.V.A.,  derivado del 5to pago de cuota concursal a los acreedores, sin sujeción al IFECOM, el Juez, previo acordar la solicitud del especialista, dio vista al IFECOM, para q</w:t>
      </w:r>
      <w:bookmarkStart w:id="0" w:name="_GoBack"/>
      <w:bookmarkEnd w:id="0"/>
      <w:r w:rsidRPr="007229F4">
        <w:rPr>
          <w:rFonts w:ascii="Montserrat" w:hAnsi="Montserrat" w:cs="Arial"/>
          <w:sz w:val="20"/>
          <w:szCs w:val="20"/>
        </w:rPr>
        <w:t xml:space="preserve">ue en su carácter de Órgano Auxiliar del Poder Judicial y experto en la materia, indique si el monto de honorarios que solicita el Síndico, corresponde a las actividades que se realizaron o bien indique, conforme a su criterio, el monto que debe ser autorizado al especialista. </w:t>
      </w:r>
    </w:p>
    <w:p w14:paraId="7230DD46" w14:textId="77777777" w:rsidR="007D32A5" w:rsidRPr="007229F4" w:rsidRDefault="007D32A5" w:rsidP="00ED78A3">
      <w:pPr>
        <w:pStyle w:val="Prrafodelista"/>
        <w:ind w:left="720"/>
        <w:jc w:val="both"/>
        <w:rPr>
          <w:rFonts w:ascii="Montserrat" w:hAnsi="Montserrat" w:cs="Arial"/>
          <w:sz w:val="20"/>
          <w:szCs w:val="20"/>
        </w:rPr>
      </w:pPr>
    </w:p>
    <w:p w14:paraId="0A133105" w14:textId="738181DE" w:rsidR="007D32A5" w:rsidRDefault="00345DF1" w:rsidP="00ED78A3">
      <w:pPr>
        <w:pStyle w:val="Prrafodelista"/>
        <w:numPr>
          <w:ilvl w:val="0"/>
          <w:numId w:val="8"/>
        </w:numPr>
        <w:jc w:val="both"/>
        <w:rPr>
          <w:rFonts w:ascii="Montserrat" w:hAnsi="Montserrat" w:cs="Arial"/>
          <w:sz w:val="20"/>
          <w:szCs w:val="20"/>
        </w:rPr>
      </w:pPr>
      <w:r w:rsidRPr="007229F4">
        <w:rPr>
          <w:rFonts w:ascii="Montserrat" w:hAnsi="Montserrat" w:cs="Arial"/>
          <w:b/>
          <w:sz w:val="20"/>
          <w:szCs w:val="20"/>
        </w:rPr>
        <w:t>Recursos de Revocación contra requerimiento de información.</w:t>
      </w:r>
      <w:r w:rsidRPr="007229F4">
        <w:rPr>
          <w:rFonts w:ascii="Montserrat" w:hAnsi="Montserrat" w:cs="Arial"/>
          <w:sz w:val="20"/>
          <w:szCs w:val="20"/>
        </w:rPr>
        <w:t xml:space="preserve"> El Síndico y el apoderado legal de BAKER &amp; MCKENZIE ABOGADOS, S.C., promovieron recursos de revocación en contra del auto de fecha 1 de marzo de 2019, en el cual se les requiere información y exhibición de documentos derivado de </w:t>
      </w:r>
      <w:r w:rsidR="007229F4">
        <w:rPr>
          <w:rFonts w:ascii="Montserrat" w:hAnsi="Montserrat" w:cs="Arial"/>
          <w:sz w:val="20"/>
          <w:szCs w:val="20"/>
        </w:rPr>
        <w:t>una</w:t>
      </w:r>
      <w:r w:rsidRPr="007229F4">
        <w:rPr>
          <w:rFonts w:ascii="Montserrat" w:hAnsi="Montserrat" w:cs="Arial"/>
          <w:sz w:val="20"/>
          <w:szCs w:val="20"/>
        </w:rPr>
        <w:t xml:space="preserve"> solicitud de información tramitada por la Secretaría para el Trámite de Solicitudes de Acceso a la Información de la Unidad de Transparencia del Consejo de la Judicatura Federal. Al respecto, esta Interventoría señaló en esencia que el Juez en su carácter de rector del procedimiento deberá estudiar los agravios formulados por los recurrentes, tomando en consideración el carácter de particulares que tienen dentro del procedimiento concursal</w:t>
      </w:r>
      <w:r w:rsidR="007229F4">
        <w:rPr>
          <w:rFonts w:ascii="Montserrat" w:hAnsi="Montserrat" w:cs="Arial"/>
          <w:sz w:val="20"/>
          <w:szCs w:val="20"/>
        </w:rPr>
        <w:t>.</w:t>
      </w:r>
    </w:p>
    <w:p w14:paraId="4A600E38" w14:textId="77777777" w:rsidR="00ED78A3" w:rsidRPr="007229F4" w:rsidRDefault="00ED78A3" w:rsidP="00ED78A3">
      <w:pPr>
        <w:pStyle w:val="Prrafodelista"/>
        <w:ind w:left="720"/>
        <w:jc w:val="both"/>
        <w:rPr>
          <w:rFonts w:ascii="Montserrat" w:hAnsi="Montserrat" w:cs="Arial"/>
          <w:sz w:val="20"/>
          <w:szCs w:val="20"/>
        </w:rPr>
      </w:pPr>
    </w:p>
    <w:p w14:paraId="4A50F9D7" w14:textId="57A5AE0E" w:rsidR="00345DF1" w:rsidRPr="007229F4" w:rsidRDefault="000F3E33" w:rsidP="00ED78A3">
      <w:pPr>
        <w:pStyle w:val="Prrafodelista"/>
        <w:numPr>
          <w:ilvl w:val="0"/>
          <w:numId w:val="8"/>
        </w:numPr>
        <w:jc w:val="both"/>
        <w:rPr>
          <w:rFonts w:ascii="Montserrat" w:hAnsi="Montserrat" w:cs="Arial"/>
          <w:sz w:val="20"/>
          <w:szCs w:val="20"/>
        </w:rPr>
      </w:pPr>
      <w:r w:rsidRPr="007229F4">
        <w:rPr>
          <w:rFonts w:ascii="Montserrat" w:hAnsi="Montserrat" w:cs="Arial"/>
          <w:b/>
          <w:sz w:val="20"/>
          <w:szCs w:val="20"/>
        </w:rPr>
        <w:t xml:space="preserve">Amparo contra requerimiento. </w:t>
      </w:r>
      <w:r w:rsidRPr="007229F4">
        <w:rPr>
          <w:rFonts w:ascii="Montserrat" w:hAnsi="Montserrat" w:cs="Arial"/>
          <w:sz w:val="20"/>
          <w:szCs w:val="20"/>
        </w:rPr>
        <w:t xml:space="preserve"> </w:t>
      </w:r>
      <w:r w:rsidR="00345DF1" w:rsidRPr="007229F4">
        <w:rPr>
          <w:rFonts w:ascii="Montserrat" w:hAnsi="Montserrat" w:cs="Arial"/>
          <w:sz w:val="20"/>
          <w:szCs w:val="20"/>
        </w:rPr>
        <w:t>A una e</w:t>
      </w:r>
      <w:r w:rsidRPr="007229F4">
        <w:rPr>
          <w:rFonts w:ascii="Montserrat" w:hAnsi="Montserrat" w:cs="Arial"/>
          <w:sz w:val="20"/>
          <w:szCs w:val="20"/>
        </w:rPr>
        <w:t>mpresa</w:t>
      </w:r>
      <w:r w:rsidR="00345DF1" w:rsidRPr="007229F4">
        <w:rPr>
          <w:rFonts w:ascii="Montserrat" w:hAnsi="Montserrat" w:cs="Arial"/>
          <w:sz w:val="20"/>
          <w:szCs w:val="20"/>
        </w:rPr>
        <w:t xml:space="preserve"> que tiene la calidad de</w:t>
      </w:r>
      <w:r w:rsidRPr="007229F4">
        <w:rPr>
          <w:rFonts w:ascii="Montserrat" w:hAnsi="Montserrat" w:cs="Arial"/>
          <w:sz w:val="20"/>
          <w:szCs w:val="20"/>
        </w:rPr>
        <w:t xml:space="preserve"> deudora de FICREA, le ha sido requerido el pago de $40,141,365.36, por concepto de créditos que cobró y se ha negado al pago, motivo por el cual se le han hecho efectivo diversos apercibimientos, entre ellos multas económicas y una orden de arresto, contra la cual presentó recurso de revocación el cual se declaró improcedente y confirma el auto que decreta el arresto del representante legal. En consecuencia, la deudora promovió demanda de amparo en contra de dicha resolución, en la que se otorgó la suspensión provisional. </w:t>
      </w:r>
    </w:p>
    <w:p w14:paraId="6D99FAD3" w14:textId="77777777" w:rsidR="000F3E33" w:rsidRPr="007229F4" w:rsidRDefault="000F3E33" w:rsidP="00ED78A3">
      <w:pPr>
        <w:jc w:val="both"/>
        <w:rPr>
          <w:rFonts w:ascii="Montserrat" w:hAnsi="Montserrat"/>
          <w:sz w:val="20"/>
          <w:szCs w:val="20"/>
        </w:rPr>
      </w:pPr>
    </w:p>
    <w:sectPr w:rsidR="000F3E33" w:rsidRPr="007229F4"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AE89F" w14:textId="77777777" w:rsidR="00D239DD" w:rsidRDefault="00D239DD" w:rsidP="007B0DA0">
      <w:r>
        <w:separator/>
      </w:r>
    </w:p>
  </w:endnote>
  <w:endnote w:type="continuationSeparator" w:id="0">
    <w:p w14:paraId="57796B29" w14:textId="77777777" w:rsidR="00D239DD" w:rsidRDefault="00D239DD"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C65F7" w14:textId="77777777" w:rsidR="00D239DD" w:rsidRDefault="00D239DD" w:rsidP="007B0DA0">
      <w:r>
        <w:separator/>
      </w:r>
    </w:p>
  </w:footnote>
  <w:footnote w:type="continuationSeparator" w:id="0">
    <w:p w14:paraId="0C473915" w14:textId="77777777" w:rsidR="00D239DD" w:rsidRDefault="00D239DD" w:rsidP="007B0D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0"/>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A0"/>
    <w:rsid w:val="000019C8"/>
    <w:rsid w:val="00005EC9"/>
    <w:rsid w:val="000107B8"/>
    <w:rsid w:val="00035DE1"/>
    <w:rsid w:val="00040FC6"/>
    <w:rsid w:val="000641F3"/>
    <w:rsid w:val="00071977"/>
    <w:rsid w:val="00072928"/>
    <w:rsid w:val="00073908"/>
    <w:rsid w:val="00081A4C"/>
    <w:rsid w:val="000876B1"/>
    <w:rsid w:val="000A234D"/>
    <w:rsid w:val="000A4DB5"/>
    <w:rsid w:val="000A609B"/>
    <w:rsid w:val="000B1EB0"/>
    <w:rsid w:val="000B5071"/>
    <w:rsid w:val="000C38E8"/>
    <w:rsid w:val="000D37E9"/>
    <w:rsid w:val="000D7825"/>
    <w:rsid w:val="000E7332"/>
    <w:rsid w:val="000F3E33"/>
    <w:rsid w:val="000F71D3"/>
    <w:rsid w:val="00107690"/>
    <w:rsid w:val="00134650"/>
    <w:rsid w:val="00135766"/>
    <w:rsid w:val="00150A06"/>
    <w:rsid w:val="001821D4"/>
    <w:rsid w:val="0019050A"/>
    <w:rsid w:val="001A05DE"/>
    <w:rsid w:val="001A0677"/>
    <w:rsid w:val="001A6CF1"/>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1D9B"/>
    <w:rsid w:val="00237268"/>
    <w:rsid w:val="00244910"/>
    <w:rsid w:val="002451CD"/>
    <w:rsid w:val="00246FB9"/>
    <w:rsid w:val="00250DCD"/>
    <w:rsid w:val="0026062F"/>
    <w:rsid w:val="00266BA7"/>
    <w:rsid w:val="00285AD3"/>
    <w:rsid w:val="0029771B"/>
    <w:rsid w:val="002A0CC6"/>
    <w:rsid w:val="002A64BB"/>
    <w:rsid w:val="002B0478"/>
    <w:rsid w:val="002B154A"/>
    <w:rsid w:val="002B42FB"/>
    <w:rsid w:val="002B5E4A"/>
    <w:rsid w:val="002C4F77"/>
    <w:rsid w:val="002C5224"/>
    <w:rsid w:val="002D0D81"/>
    <w:rsid w:val="002D5D65"/>
    <w:rsid w:val="002E5A13"/>
    <w:rsid w:val="002F15DC"/>
    <w:rsid w:val="002F27DE"/>
    <w:rsid w:val="003028F9"/>
    <w:rsid w:val="00304E72"/>
    <w:rsid w:val="00313B8B"/>
    <w:rsid w:val="00313E07"/>
    <w:rsid w:val="00323B40"/>
    <w:rsid w:val="0032636C"/>
    <w:rsid w:val="00341ACE"/>
    <w:rsid w:val="0034576F"/>
    <w:rsid w:val="00345DF1"/>
    <w:rsid w:val="003A7D69"/>
    <w:rsid w:val="003B2F89"/>
    <w:rsid w:val="003B7585"/>
    <w:rsid w:val="003C2C2B"/>
    <w:rsid w:val="003D14FE"/>
    <w:rsid w:val="003D42DA"/>
    <w:rsid w:val="003E678A"/>
    <w:rsid w:val="003E7BB5"/>
    <w:rsid w:val="003F6B05"/>
    <w:rsid w:val="003F7D01"/>
    <w:rsid w:val="00404E19"/>
    <w:rsid w:val="00410BA2"/>
    <w:rsid w:val="004164D7"/>
    <w:rsid w:val="0042146E"/>
    <w:rsid w:val="004223AB"/>
    <w:rsid w:val="0043120C"/>
    <w:rsid w:val="004327F3"/>
    <w:rsid w:val="00445252"/>
    <w:rsid w:val="00450281"/>
    <w:rsid w:val="00450BB1"/>
    <w:rsid w:val="00475000"/>
    <w:rsid w:val="00482673"/>
    <w:rsid w:val="004A0F01"/>
    <w:rsid w:val="004B6435"/>
    <w:rsid w:val="004D1AE6"/>
    <w:rsid w:val="004D6A8E"/>
    <w:rsid w:val="004E61BF"/>
    <w:rsid w:val="00502EFE"/>
    <w:rsid w:val="005640FE"/>
    <w:rsid w:val="005A4085"/>
    <w:rsid w:val="005B4EC5"/>
    <w:rsid w:val="005C687A"/>
    <w:rsid w:val="005D0963"/>
    <w:rsid w:val="005D157D"/>
    <w:rsid w:val="005D5F67"/>
    <w:rsid w:val="005D6741"/>
    <w:rsid w:val="005D7BD3"/>
    <w:rsid w:val="005E3E82"/>
    <w:rsid w:val="005F3416"/>
    <w:rsid w:val="005F5426"/>
    <w:rsid w:val="00625473"/>
    <w:rsid w:val="00636FC1"/>
    <w:rsid w:val="006468CA"/>
    <w:rsid w:val="0065160B"/>
    <w:rsid w:val="00691528"/>
    <w:rsid w:val="00710BEF"/>
    <w:rsid w:val="007121F0"/>
    <w:rsid w:val="007229F4"/>
    <w:rsid w:val="0073706E"/>
    <w:rsid w:val="00753739"/>
    <w:rsid w:val="0076543F"/>
    <w:rsid w:val="00784ED6"/>
    <w:rsid w:val="007A21ED"/>
    <w:rsid w:val="007A3CBA"/>
    <w:rsid w:val="007A770B"/>
    <w:rsid w:val="007B0DA0"/>
    <w:rsid w:val="007B13AE"/>
    <w:rsid w:val="007B331B"/>
    <w:rsid w:val="007B4D21"/>
    <w:rsid w:val="007B6077"/>
    <w:rsid w:val="007B791D"/>
    <w:rsid w:val="007D32A5"/>
    <w:rsid w:val="007D5A2C"/>
    <w:rsid w:val="00803542"/>
    <w:rsid w:val="008110A6"/>
    <w:rsid w:val="0081236D"/>
    <w:rsid w:val="00824A38"/>
    <w:rsid w:val="00834EB6"/>
    <w:rsid w:val="00850A9E"/>
    <w:rsid w:val="00855EC8"/>
    <w:rsid w:val="00873D9C"/>
    <w:rsid w:val="00891518"/>
    <w:rsid w:val="00894583"/>
    <w:rsid w:val="008D2AA4"/>
    <w:rsid w:val="009051CB"/>
    <w:rsid w:val="009054D2"/>
    <w:rsid w:val="00906236"/>
    <w:rsid w:val="00910D5F"/>
    <w:rsid w:val="00913308"/>
    <w:rsid w:val="00935377"/>
    <w:rsid w:val="00941354"/>
    <w:rsid w:val="009446FE"/>
    <w:rsid w:val="00963339"/>
    <w:rsid w:val="0096567A"/>
    <w:rsid w:val="00971334"/>
    <w:rsid w:val="00974408"/>
    <w:rsid w:val="0097730B"/>
    <w:rsid w:val="00984404"/>
    <w:rsid w:val="00985D5B"/>
    <w:rsid w:val="0099168E"/>
    <w:rsid w:val="0099679D"/>
    <w:rsid w:val="009A1B25"/>
    <w:rsid w:val="009A5D44"/>
    <w:rsid w:val="009B132E"/>
    <w:rsid w:val="009B191D"/>
    <w:rsid w:val="009C7C4F"/>
    <w:rsid w:val="009F1171"/>
    <w:rsid w:val="00A0637C"/>
    <w:rsid w:val="00A1134D"/>
    <w:rsid w:val="00A121D8"/>
    <w:rsid w:val="00A20747"/>
    <w:rsid w:val="00A61FE8"/>
    <w:rsid w:val="00A67FFC"/>
    <w:rsid w:val="00AA5899"/>
    <w:rsid w:val="00AA7234"/>
    <w:rsid w:val="00AC485B"/>
    <w:rsid w:val="00AD650E"/>
    <w:rsid w:val="00AE031E"/>
    <w:rsid w:val="00AF1C7C"/>
    <w:rsid w:val="00AF4062"/>
    <w:rsid w:val="00B00436"/>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96910"/>
    <w:rsid w:val="00B96FEA"/>
    <w:rsid w:val="00BA36C3"/>
    <w:rsid w:val="00BB76CC"/>
    <w:rsid w:val="00BB7B96"/>
    <w:rsid w:val="00BD3241"/>
    <w:rsid w:val="00BD4DA1"/>
    <w:rsid w:val="00BE07B8"/>
    <w:rsid w:val="00BE7116"/>
    <w:rsid w:val="00BF6246"/>
    <w:rsid w:val="00BF6A72"/>
    <w:rsid w:val="00C00FB0"/>
    <w:rsid w:val="00C202DE"/>
    <w:rsid w:val="00C26E1F"/>
    <w:rsid w:val="00C31761"/>
    <w:rsid w:val="00C353A2"/>
    <w:rsid w:val="00C368A9"/>
    <w:rsid w:val="00C45ED0"/>
    <w:rsid w:val="00C654CD"/>
    <w:rsid w:val="00C90C22"/>
    <w:rsid w:val="00C9307A"/>
    <w:rsid w:val="00CB792A"/>
    <w:rsid w:val="00CC6225"/>
    <w:rsid w:val="00CD2E70"/>
    <w:rsid w:val="00CE24EF"/>
    <w:rsid w:val="00CF1EFC"/>
    <w:rsid w:val="00CF46A2"/>
    <w:rsid w:val="00CF717C"/>
    <w:rsid w:val="00D239DD"/>
    <w:rsid w:val="00D61BE3"/>
    <w:rsid w:val="00D74384"/>
    <w:rsid w:val="00DA2659"/>
    <w:rsid w:val="00DB134E"/>
    <w:rsid w:val="00DB50B3"/>
    <w:rsid w:val="00DC2737"/>
    <w:rsid w:val="00DC5DEC"/>
    <w:rsid w:val="00DE4B68"/>
    <w:rsid w:val="00DE5C7C"/>
    <w:rsid w:val="00DF75FD"/>
    <w:rsid w:val="00E02D24"/>
    <w:rsid w:val="00E0444C"/>
    <w:rsid w:val="00E0549F"/>
    <w:rsid w:val="00E058E1"/>
    <w:rsid w:val="00E07440"/>
    <w:rsid w:val="00E112C6"/>
    <w:rsid w:val="00E20DEB"/>
    <w:rsid w:val="00E3501B"/>
    <w:rsid w:val="00E6216D"/>
    <w:rsid w:val="00E62B16"/>
    <w:rsid w:val="00E70317"/>
    <w:rsid w:val="00E85057"/>
    <w:rsid w:val="00E922E6"/>
    <w:rsid w:val="00E928D1"/>
    <w:rsid w:val="00EA3F65"/>
    <w:rsid w:val="00EB2F76"/>
    <w:rsid w:val="00EB3F01"/>
    <w:rsid w:val="00ED0A2A"/>
    <w:rsid w:val="00ED1283"/>
    <w:rsid w:val="00ED78A3"/>
    <w:rsid w:val="00EE0960"/>
    <w:rsid w:val="00EF73C1"/>
    <w:rsid w:val="00F006E6"/>
    <w:rsid w:val="00F01050"/>
    <w:rsid w:val="00F01851"/>
    <w:rsid w:val="00F1215F"/>
    <w:rsid w:val="00F16625"/>
    <w:rsid w:val="00F21205"/>
    <w:rsid w:val="00F25CB2"/>
    <w:rsid w:val="00F3229D"/>
    <w:rsid w:val="00F322F6"/>
    <w:rsid w:val="00F828C7"/>
    <w:rsid w:val="00F839D6"/>
    <w:rsid w:val="00F917BE"/>
    <w:rsid w:val="00FA14E7"/>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D4988-68AE-451A-BC4B-1A6006F0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450</Words>
  <Characters>2480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VAZQUEZ ORTIZ MIGUEL ANGEL</cp:lastModifiedBy>
  <cp:revision>9</cp:revision>
  <cp:lastPrinted>2021-06-15T22:19:00Z</cp:lastPrinted>
  <dcterms:created xsi:type="dcterms:W3CDTF">2021-07-12T04:12:00Z</dcterms:created>
  <dcterms:modified xsi:type="dcterms:W3CDTF">2021-07-15T18:17:00Z</dcterms:modified>
</cp:coreProperties>
</file>